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CC00" w14:textId="2EF35759" w:rsidR="00BB16A0" w:rsidRDefault="00B7787A" w:rsidP="00BB16A0">
      <w:r>
        <w:rPr>
          <w:noProof/>
        </w:rPr>
        <w:drawing>
          <wp:inline distT="0" distB="0" distL="0" distR="0" wp14:anchorId="486ABB70" wp14:editId="41A583D1">
            <wp:extent cx="3031200" cy="36000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FC116" w14:textId="77777777" w:rsidR="00BB16A0" w:rsidRDefault="00BB16A0" w:rsidP="00BB16A0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727EA82C" w14:textId="47417099" w:rsidR="000D4D3A" w:rsidRPr="000D4D3A" w:rsidRDefault="002730C4" w:rsidP="00E57E7E">
      <w:pPr>
        <w:jc w:val="center"/>
        <w:rPr>
          <w:rFonts w:cs="Arial"/>
          <w:b/>
          <w:bCs/>
          <w:color w:val="31849B"/>
          <w:sz w:val="40"/>
          <w:szCs w:val="40"/>
        </w:rPr>
      </w:pPr>
      <w:r>
        <w:rPr>
          <w:rFonts w:cs="Arial"/>
          <w:b/>
          <w:bCs/>
          <w:color w:val="31849B"/>
          <w:sz w:val="40"/>
          <w:szCs w:val="40"/>
        </w:rPr>
        <w:t>Grimsby to Walpole</w:t>
      </w:r>
      <w:r w:rsidR="00BB16A0">
        <w:rPr>
          <w:rFonts w:cs="Arial"/>
          <w:b/>
          <w:bCs/>
          <w:color w:val="31849B"/>
          <w:sz w:val="40"/>
          <w:szCs w:val="40"/>
        </w:rPr>
        <w:t xml:space="preserve"> </w:t>
      </w:r>
    </w:p>
    <w:p w14:paraId="5905720D" w14:textId="000694CD" w:rsidR="00BB16A0" w:rsidRPr="007B5E30" w:rsidRDefault="00BB16A0" w:rsidP="00BB16A0">
      <w:pPr>
        <w:jc w:val="center"/>
        <w:rPr>
          <w:rFonts w:eastAsia="Times New Roman" w:cs="Arial"/>
          <w:b/>
          <w:bCs/>
          <w:color w:val="31849B"/>
          <w:sz w:val="40"/>
          <w:szCs w:val="40"/>
          <w:lang w:eastAsia="en-GB"/>
        </w:rPr>
      </w:pPr>
    </w:p>
    <w:p w14:paraId="40F54074" w14:textId="77777777" w:rsidR="00BB16A0" w:rsidRPr="000A6FE9" w:rsidRDefault="00BB16A0" w:rsidP="00BB16A0">
      <w:pPr>
        <w:jc w:val="center"/>
        <w:rPr>
          <w:rFonts w:cs="Arial"/>
          <w:b/>
          <w:bCs/>
          <w:color w:val="31849B"/>
          <w:sz w:val="40"/>
          <w:szCs w:val="40"/>
        </w:rPr>
      </w:pPr>
      <w:r w:rsidRPr="5FCFEF09">
        <w:rPr>
          <w:rFonts w:cs="Arial"/>
          <w:b/>
          <w:bCs/>
          <w:color w:val="31849B"/>
          <w:sz w:val="40"/>
          <w:szCs w:val="40"/>
        </w:rPr>
        <w:t>Section 51 Advice Log</w:t>
      </w:r>
    </w:p>
    <w:p w14:paraId="1F7D4D57" w14:textId="60CE0008" w:rsidR="5FCFEF09" w:rsidRDefault="5FCFEF09" w:rsidP="5FCFEF09">
      <w:pPr>
        <w:jc w:val="center"/>
        <w:rPr>
          <w:rFonts w:cs="Arial"/>
          <w:b/>
          <w:bCs/>
          <w:color w:val="31849B"/>
          <w:sz w:val="40"/>
          <w:szCs w:val="40"/>
        </w:rPr>
      </w:pPr>
    </w:p>
    <w:p w14:paraId="1BB672EA" w14:textId="1DFA41A2" w:rsidR="00BB16A0" w:rsidRPr="000A6FE9" w:rsidRDefault="00BB16A0" w:rsidP="00BB16A0">
      <w:pPr>
        <w:jc w:val="center"/>
        <w:rPr>
          <w:rFonts w:cs="Arial"/>
          <w:b/>
          <w:bCs/>
          <w:color w:val="31849B"/>
          <w:sz w:val="40"/>
          <w:szCs w:val="40"/>
        </w:rPr>
      </w:pPr>
      <w:r w:rsidRPr="5FCFEF09">
        <w:rPr>
          <w:rFonts w:cs="Arial"/>
          <w:b/>
          <w:bCs/>
          <w:color w:val="31849B"/>
          <w:sz w:val="40"/>
          <w:szCs w:val="40"/>
        </w:rPr>
        <w:t xml:space="preserve">Version: </w:t>
      </w:r>
      <w:r w:rsidR="00CE764A">
        <w:rPr>
          <w:rFonts w:cs="Arial"/>
          <w:b/>
          <w:bCs/>
          <w:color w:val="31849B"/>
          <w:sz w:val="40"/>
          <w:szCs w:val="40"/>
        </w:rPr>
        <w:t>06</w:t>
      </w:r>
      <w:r w:rsidR="002730C4" w:rsidRPr="5FCFEF09">
        <w:rPr>
          <w:rFonts w:cs="Arial"/>
          <w:b/>
          <w:bCs/>
          <w:color w:val="31849B"/>
          <w:sz w:val="40"/>
          <w:szCs w:val="40"/>
        </w:rPr>
        <w:t xml:space="preserve"> </w:t>
      </w:r>
      <w:r w:rsidR="00CE764A">
        <w:rPr>
          <w:rFonts w:cs="Arial"/>
          <w:b/>
          <w:bCs/>
          <w:color w:val="31849B"/>
          <w:sz w:val="40"/>
          <w:szCs w:val="40"/>
        </w:rPr>
        <w:t>November</w:t>
      </w:r>
      <w:r w:rsidR="002730C4" w:rsidRPr="5FCFEF09">
        <w:rPr>
          <w:rFonts w:cs="Arial"/>
          <w:b/>
          <w:bCs/>
          <w:color w:val="31849B"/>
          <w:sz w:val="40"/>
          <w:szCs w:val="40"/>
        </w:rPr>
        <w:t xml:space="preserve"> 2025</w:t>
      </w:r>
    </w:p>
    <w:p w14:paraId="41634D81" w14:textId="77777777" w:rsidR="00BB16A0" w:rsidRDefault="00BB16A0" w:rsidP="00BB16A0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19A1272E" w14:textId="77777777" w:rsidR="00BB16A0" w:rsidRDefault="00BB16A0" w:rsidP="00BB16A0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5668D6F7" w14:textId="755BBD3D" w:rsidR="00BB16A0" w:rsidRDefault="00BB16A0" w:rsidP="00BB16A0">
      <w:pPr>
        <w:rPr>
          <w:rFonts w:cs="Arial"/>
          <w:szCs w:val="24"/>
        </w:rPr>
      </w:pPr>
      <w:r w:rsidRPr="00295549">
        <w:rPr>
          <w:rFonts w:cs="Arial"/>
          <w:szCs w:val="24"/>
        </w:rPr>
        <w:t xml:space="preserve">There is a statutory duty under </w:t>
      </w:r>
      <w:hyperlink r:id="rId12" w:history="1">
        <w:r w:rsidR="00CA526C">
          <w:rPr>
            <w:rStyle w:val="Hyperlink"/>
            <w:rFonts w:cs="Arial"/>
            <w:szCs w:val="24"/>
          </w:rPr>
          <w:t>'section 51 (s51) of the Planning Act 2008'</w:t>
        </w:r>
      </w:hyperlink>
      <w:r w:rsidRPr="0029554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for </w:t>
      </w:r>
      <w:r w:rsidR="00CA526C">
        <w:rPr>
          <w:rFonts w:cs="Arial"/>
          <w:szCs w:val="24"/>
        </w:rPr>
        <w:t>T</w:t>
      </w:r>
      <w:r>
        <w:rPr>
          <w:rFonts w:cs="Arial"/>
          <w:szCs w:val="24"/>
        </w:rPr>
        <w:t xml:space="preserve">he Planning Inspectorate </w:t>
      </w:r>
      <w:r w:rsidRPr="00295549">
        <w:rPr>
          <w:rFonts w:cs="Arial"/>
          <w:szCs w:val="24"/>
        </w:rPr>
        <w:t xml:space="preserve">to record the advice that </w:t>
      </w:r>
      <w:r>
        <w:rPr>
          <w:rFonts w:cs="Arial"/>
          <w:szCs w:val="24"/>
        </w:rPr>
        <w:t>it gives</w:t>
      </w:r>
      <w:r w:rsidRPr="00295549">
        <w:rPr>
          <w:rFonts w:cs="Arial"/>
          <w:szCs w:val="24"/>
        </w:rPr>
        <w:t xml:space="preserve"> in relation to an application or potential application</w:t>
      </w:r>
      <w:r>
        <w:rPr>
          <w:rFonts w:cs="Arial"/>
          <w:szCs w:val="24"/>
        </w:rPr>
        <w:t>,</w:t>
      </w:r>
      <w:r w:rsidRPr="00295549">
        <w:rPr>
          <w:rFonts w:cs="Arial"/>
          <w:szCs w:val="24"/>
        </w:rPr>
        <w:t xml:space="preserve"> and to make this publicly available.</w:t>
      </w:r>
    </w:p>
    <w:p w14:paraId="59D78571" w14:textId="77777777" w:rsidR="00682386" w:rsidRDefault="00682386" w:rsidP="00BB16A0">
      <w:pPr>
        <w:rPr>
          <w:rFonts w:cs="Arial"/>
          <w:szCs w:val="24"/>
        </w:rPr>
      </w:pPr>
    </w:p>
    <w:p w14:paraId="0F0BB7F8" w14:textId="0682DDC9" w:rsidR="00BB16A0" w:rsidRDefault="00BB16A0" w:rsidP="00BB16A0">
      <w:pPr>
        <w:rPr>
          <w:rFonts w:cs="Arial"/>
          <w:szCs w:val="24"/>
        </w:rPr>
      </w:pPr>
      <w:r w:rsidRPr="248F54F4">
        <w:rPr>
          <w:rFonts w:cs="Arial"/>
          <w:szCs w:val="24"/>
        </w:rPr>
        <w:t>This document c</w:t>
      </w:r>
      <w:r>
        <w:rPr>
          <w:rFonts w:cs="Arial"/>
          <w:szCs w:val="24"/>
        </w:rPr>
        <w:t>omprises a record of</w:t>
      </w:r>
      <w:r w:rsidRPr="248F54F4">
        <w:rPr>
          <w:rFonts w:cs="Arial"/>
          <w:szCs w:val="24"/>
        </w:rPr>
        <w:t xml:space="preserve"> the advice that has been provided by </w:t>
      </w:r>
      <w:r w:rsidR="00C01E74">
        <w:rPr>
          <w:rFonts w:cs="Arial"/>
          <w:szCs w:val="24"/>
        </w:rPr>
        <w:t>T</w:t>
      </w:r>
      <w:r w:rsidRPr="248F54F4">
        <w:rPr>
          <w:rFonts w:cs="Arial"/>
          <w:szCs w:val="24"/>
        </w:rPr>
        <w:t>he</w:t>
      </w:r>
      <w:r w:rsidR="00D713D3">
        <w:rPr>
          <w:rFonts w:cs="Arial"/>
          <w:szCs w:val="24"/>
        </w:rPr>
        <w:t xml:space="preserve"> Planning</w:t>
      </w:r>
      <w:r w:rsidRPr="248F54F4">
        <w:rPr>
          <w:rFonts w:cs="Arial"/>
          <w:szCs w:val="24"/>
        </w:rPr>
        <w:t xml:space="preserve"> Inspectorate </w:t>
      </w:r>
      <w:r>
        <w:rPr>
          <w:rFonts w:cs="Arial"/>
          <w:szCs w:val="24"/>
        </w:rPr>
        <w:t>to</w:t>
      </w:r>
      <w:r w:rsidRPr="248F54F4">
        <w:rPr>
          <w:rFonts w:cs="Arial"/>
          <w:szCs w:val="24"/>
        </w:rPr>
        <w:t xml:space="preserve"> the applicant </w:t>
      </w:r>
      <w:r w:rsidRPr="00B97C22">
        <w:rPr>
          <w:rFonts w:cs="Arial"/>
          <w:szCs w:val="24"/>
        </w:rPr>
        <w:t>(</w:t>
      </w:r>
      <w:r w:rsidR="00B97C22" w:rsidRPr="00B97C22">
        <w:rPr>
          <w:rFonts w:cs="Arial"/>
          <w:szCs w:val="24"/>
        </w:rPr>
        <w:t>National Grid Electricity Transmission</w:t>
      </w:r>
      <w:r w:rsidRPr="00B97C22">
        <w:rPr>
          <w:rFonts w:cs="Arial"/>
          <w:szCs w:val="24"/>
        </w:rPr>
        <w:t>)</w:t>
      </w:r>
      <w:r w:rsidRPr="248F54F4">
        <w:rPr>
          <w:rFonts w:cs="Arial"/>
          <w:szCs w:val="24"/>
        </w:rPr>
        <w:t xml:space="preserve"> and </w:t>
      </w:r>
      <w:r>
        <w:rPr>
          <w:rFonts w:cs="Arial"/>
          <w:szCs w:val="24"/>
        </w:rPr>
        <w:t>their</w:t>
      </w:r>
      <w:r w:rsidRPr="248F54F4">
        <w:rPr>
          <w:rFonts w:cs="Arial"/>
          <w:szCs w:val="24"/>
        </w:rPr>
        <w:t xml:space="preserve"> consultants</w:t>
      </w:r>
      <w:r>
        <w:rPr>
          <w:rFonts w:cs="Arial"/>
          <w:szCs w:val="24"/>
        </w:rPr>
        <w:t xml:space="preserve"> during the pre-application stage</w:t>
      </w:r>
      <w:r w:rsidR="00D713D3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It will be updated by </w:t>
      </w:r>
      <w:r w:rsidR="00C01E74">
        <w:rPr>
          <w:rFonts w:cs="Arial"/>
          <w:szCs w:val="24"/>
        </w:rPr>
        <w:t>T</w:t>
      </w:r>
      <w:r>
        <w:rPr>
          <w:rFonts w:cs="Arial"/>
          <w:szCs w:val="24"/>
        </w:rPr>
        <w:t xml:space="preserve">he </w:t>
      </w:r>
      <w:r w:rsidR="00D713D3">
        <w:rPr>
          <w:rFonts w:cs="Arial"/>
          <w:szCs w:val="24"/>
        </w:rPr>
        <w:t xml:space="preserve">Planning </w:t>
      </w:r>
      <w:r>
        <w:rPr>
          <w:rFonts w:cs="Arial"/>
          <w:szCs w:val="24"/>
        </w:rPr>
        <w:t xml:space="preserve">Inspectorate after every interaction with the applicant during which s51 has been provided. The applicant will always be given the opportunity to comment on </w:t>
      </w:r>
      <w:r w:rsidR="00C01E74">
        <w:rPr>
          <w:rFonts w:cs="Arial"/>
          <w:szCs w:val="24"/>
        </w:rPr>
        <w:t>T</w:t>
      </w:r>
      <w:r>
        <w:rPr>
          <w:rFonts w:cs="Arial"/>
          <w:szCs w:val="24"/>
        </w:rPr>
        <w:t xml:space="preserve">he </w:t>
      </w:r>
      <w:r w:rsidR="00842083">
        <w:rPr>
          <w:rFonts w:cs="Arial"/>
          <w:szCs w:val="24"/>
        </w:rPr>
        <w:t xml:space="preserve">Planning </w:t>
      </w:r>
      <w:r>
        <w:rPr>
          <w:rFonts w:cs="Arial"/>
          <w:szCs w:val="24"/>
        </w:rPr>
        <w:t xml:space="preserve">Inspectorate’s draft record of advice before it is published. </w:t>
      </w:r>
    </w:p>
    <w:p w14:paraId="458E952D" w14:textId="77777777" w:rsidR="00682386" w:rsidRPr="00295549" w:rsidRDefault="00682386" w:rsidP="00BB16A0">
      <w:pPr>
        <w:rPr>
          <w:rFonts w:cs="Arial"/>
          <w:szCs w:val="24"/>
        </w:rPr>
      </w:pPr>
    </w:p>
    <w:p w14:paraId="4F9D70B2" w14:textId="4BDD529D" w:rsidR="00BB16A0" w:rsidRPr="001507A6" w:rsidRDefault="00BB16A0" w:rsidP="00BB16A0">
      <w:pPr>
        <w:rPr>
          <w:rFonts w:cs="Arial"/>
          <w:szCs w:val="24"/>
        </w:rPr>
      </w:pPr>
      <w:r w:rsidRPr="001507A6">
        <w:rPr>
          <w:rFonts w:cs="Arial"/>
          <w:color w:val="0B0C0C"/>
          <w:szCs w:val="24"/>
          <w:shd w:val="clear" w:color="auto" w:fill="FFFFFF"/>
        </w:rPr>
        <w:t xml:space="preserve">The applicant will use this </w:t>
      </w:r>
      <w:r w:rsidR="00842083">
        <w:rPr>
          <w:rFonts w:cs="Arial"/>
          <w:color w:val="0B0C0C"/>
          <w:szCs w:val="24"/>
          <w:shd w:val="clear" w:color="auto" w:fill="FFFFFF"/>
        </w:rPr>
        <w:t>a</w:t>
      </w:r>
      <w:r w:rsidRPr="001507A6">
        <w:rPr>
          <w:rFonts w:cs="Arial"/>
          <w:color w:val="0B0C0C"/>
          <w:szCs w:val="24"/>
          <w:shd w:val="clear" w:color="auto" w:fill="FFFFFF"/>
        </w:rPr>
        <w:t xml:space="preserve">dvice </w:t>
      </w:r>
      <w:r w:rsidR="00842083">
        <w:rPr>
          <w:rFonts w:cs="Arial"/>
          <w:color w:val="0B0C0C"/>
          <w:szCs w:val="24"/>
          <w:shd w:val="clear" w:color="auto" w:fill="FFFFFF"/>
        </w:rPr>
        <w:t>l</w:t>
      </w:r>
      <w:r w:rsidRPr="001507A6">
        <w:rPr>
          <w:rFonts w:cs="Arial"/>
          <w:color w:val="0B0C0C"/>
          <w:szCs w:val="24"/>
          <w:shd w:val="clear" w:color="auto" w:fill="FFFFFF"/>
        </w:rPr>
        <w:t xml:space="preserve">og as the basis for demonstrating regard to </w:t>
      </w:r>
      <w:r w:rsidR="00842083">
        <w:rPr>
          <w:rFonts w:cs="Arial"/>
          <w:color w:val="0B0C0C"/>
          <w:szCs w:val="24"/>
          <w:shd w:val="clear" w:color="auto" w:fill="FFFFFF"/>
        </w:rPr>
        <w:t>s</w:t>
      </w:r>
      <w:r w:rsidRPr="001507A6">
        <w:rPr>
          <w:rFonts w:cs="Arial"/>
          <w:color w:val="0B0C0C"/>
          <w:szCs w:val="24"/>
          <w:shd w:val="clear" w:color="auto" w:fill="FFFFFF"/>
        </w:rPr>
        <w:t>51 advice within the application.</w:t>
      </w:r>
    </w:p>
    <w:p w14:paraId="65F94111" w14:textId="77777777" w:rsidR="00BB16A0" w:rsidRPr="00295549" w:rsidRDefault="00BB16A0" w:rsidP="00BB16A0">
      <w:pPr>
        <w:rPr>
          <w:rFonts w:cs="Arial"/>
          <w:szCs w:val="24"/>
        </w:rPr>
      </w:pPr>
    </w:p>
    <w:p w14:paraId="2642124D" w14:textId="77777777" w:rsidR="00BB16A0" w:rsidRPr="00295549" w:rsidRDefault="00BB16A0" w:rsidP="00BB16A0">
      <w:pPr>
        <w:rPr>
          <w:rFonts w:cs="Arial"/>
          <w:szCs w:val="24"/>
        </w:rPr>
      </w:pPr>
    </w:p>
    <w:p w14:paraId="4FC4E7BE" w14:textId="77777777" w:rsidR="00BB16A0" w:rsidRPr="00295549" w:rsidRDefault="00BB16A0" w:rsidP="00BB16A0">
      <w:pPr>
        <w:rPr>
          <w:rFonts w:cs="Arial"/>
          <w:szCs w:val="24"/>
        </w:rPr>
      </w:pPr>
    </w:p>
    <w:p w14:paraId="4FFB40B6" w14:textId="77777777" w:rsidR="00BB16A0" w:rsidRPr="00295549" w:rsidRDefault="00BB16A0" w:rsidP="00BB16A0">
      <w:pPr>
        <w:rPr>
          <w:rFonts w:cs="Arial"/>
          <w:szCs w:val="24"/>
        </w:rPr>
      </w:pPr>
    </w:p>
    <w:p w14:paraId="74EE540A" w14:textId="77777777" w:rsidR="00BB16A0" w:rsidRPr="00295549" w:rsidRDefault="00BB16A0" w:rsidP="00BB16A0">
      <w:pPr>
        <w:rPr>
          <w:rFonts w:cs="Arial"/>
          <w:szCs w:val="24"/>
        </w:rPr>
      </w:pPr>
    </w:p>
    <w:p w14:paraId="761B003C" w14:textId="77777777" w:rsidR="00BB16A0" w:rsidRPr="00295549" w:rsidRDefault="00BB16A0" w:rsidP="00BB16A0">
      <w:pPr>
        <w:rPr>
          <w:rFonts w:cs="Arial"/>
          <w:szCs w:val="24"/>
        </w:rPr>
      </w:pPr>
    </w:p>
    <w:p w14:paraId="04E500B3" w14:textId="77777777" w:rsidR="00BB16A0" w:rsidRPr="00295549" w:rsidRDefault="00BB16A0" w:rsidP="00BB16A0">
      <w:pPr>
        <w:rPr>
          <w:rFonts w:cs="Arial"/>
          <w:szCs w:val="24"/>
        </w:rPr>
      </w:pPr>
    </w:p>
    <w:p w14:paraId="60589317" w14:textId="77777777" w:rsidR="00BB16A0" w:rsidRPr="00295549" w:rsidRDefault="00BB16A0" w:rsidP="00BB16A0">
      <w:pPr>
        <w:rPr>
          <w:rFonts w:cs="Arial"/>
          <w:szCs w:val="24"/>
        </w:rPr>
      </w:pPr>
    </w:p>
    <w:p w14:paraId="410FBECF" w14:textId="77777777" w:rsidR="00BB16A0" w:rsidRDefault="00BB16A0" w:rsidP="00BB16A0">
      <w:pPr>
        <w:rPr>
          <w:rFonts w:cs="Arial"/>
          <w:szCs w:val="24"/>
        </w:rPr>
      </w:pPr>
    </w:p>
    <w:p w14:paraId="1417E2CB" w14:textId="77777777" w:rsidR="00BB16A0" w:rsidRDefault="00BB16A0" w:rsidP="00BB16A0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7364462E" w14:textId="77777777" w:rsidR="00BB16A0" w:rsidRPr="00295549" w:rsidRDefault="00BB16A0" w:rsidP="00BB16A0">
      <w:pPr>
        <w:rPr>
          <w:rFonts w:cs="Arial"/>
          <w:szCs w:val="24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39"/>
        <w:gridCol w:w="5477"/>
      </w:tblGrid>
      <w:tr w:rsidR="00BB16A0" w14:paraId="2CC4E9F6" w14:textId="77777777" w:rsidTr="5FCFEF09">
        <w:tc>
          <w:tcPr>
            <w:tcW w:w="3539" w:type="dxa"/>
            <w:shd w:val="clear" w:color="auto" w:fill="074745"/>
          </w:tcPr>
          <w:p w14:paraId="68E55B01" w14:textId="77777777" w:rsidR="00BB16A0" w:rsidRPr="00295549" w:rsidRDefault="00BB16A0" w:rsidP="00E57E7E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 w:rsidRPr="00295549">
              <w:rPr>
                <w:rFonts w:cs="Arial"/>
                <w:b/>
                <w:bCs/>
                <w:szCs w:val="24"/>
              </w:rPr>
              <w:t>Project name</w:t>
            </w:r>
          </w:p>
          <w:p w14:paraId="41E11ECA" w14:textId="77777777" w:rsidR="00BB16A0" w:rsidRPr="00295549" w:rsidRDefault="00BB16A0" w:rsidP="00E57E7E">
            <w:pPr>
              <w:spacing w:before="120" w:after="120"/>
              <w:rPr>
                <w:rFonts w:cs="Arial"/>
                <w:szCs w:val="24"/>
              </w:rPr>
            </w:pPr>
            <w:r w:rsidRPr="00295549">
              <w:rPr>
                <w:rFonts w:cs="Arial"/>
                <w:b/>
                <w:bCs/>
                <w:szCs w:val="24"/>
              </w:rPr>
              <w:t>s51 Advice L</w:t>
            </w:r>
            <w:r>
              <w:rPr>
                <w:rFonts w:cs="Arial"/>
                <w:b/>
                <w:bCs/>
                <w:szCs w:val="24"/>
              </w:rPr>
              <w:t>og</w:t>
            </w:r>
            <w:r w:rsidRPr="00295549">
              <w:rPr>
                <w:rFonts w:cs="Arial"/>
                <w:b/>
                <w:bCs/>
                <w:szCs w:val="24"/>
              </w:rPr>
              <w:t xml:space="preserve"> - Index</w:t>
            </w:r>
          </w:p>
        </w:tc>
        <w:tc>
          <w:tcPr>
            <w:tcW w:w="5477" w:type="dxa"/>
            <w:shd w:val="clear" w:color="auto" w:fill="074745"/>
          </w:tcPr>
          <w:p w14:paraId="7466F4A9" w14:textId="77777777" w:rsidR="00BB16A0" w:rsidRPr="00295549" w:rsidRDefault="00BB16A0" w:rsidP="00E57E7E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</w:p>
        </w:tc>
      </w:tr>
      <w:tr w:rsidR="00BB16A0" w14:paraId="6C95FE93" w14:textId="77777777" w:rsidTr="5FCFEF09">
        <w:tc>
          <w:tcPr>
            <w:tcW w:w="3539" w:type="dxa"/>
            <w:shd w:val="clear" w:color="auto" w:fill="00958F"/>
          </w:tcPr>
          <w:p w14:paraId="195051DE" w14:textId="77777777" w:rsidR="00BB16A0" w:rsidRPr="00295549" w:rsidRDefault="00BB16A0" w:rsidP="00E57E7E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 w:rsidRPr="00295549">
              <w:rPr>
                <w:rFonts w:cs="Arial"/>
                <w:b/>
                <w:bCs/>
                <w:szCs w:val="24"/>
              </w:rPr>
              <w:t>Date of meeting</w:t>
            </w:r>
          </w:p>
        </w:tc>
        <w:tc>
          <w:tcPr>
            <w:tcW w:w="5477" w:type="dxa"/>
            <w:shd w:val="clear" w:color="auto" w:fill="00958F"/>
          </w:tcPr>
          <w:p w14:paraId="396180C6" w14:textId="77777777" w:rsidR="00BB16A0" w:rsidRPr="00295549" w:rsidRDefault="00BB16A0" w:rsidP="00E57E7E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Meeting overview</w:t>
            </w:r>
          </w:p>
        </w:tc>
      </w:tr>
      <w:tr w:rsidR="00BB16A0" w14:paraId="6A63ECB9" w14:textId="77777777" w:rsidTr="5FCFEF09">
        <w:tc>
          <w:tcPr>
            <w:tcW w:w="3539" w:type="dxa"/>
          </w:tcPr>
          <w:p w14:paraId="515434A7" w14:textId="4AADE392" w:rsidR="00BB16A0" w:rsidRPr="00295549" w:rsidRDefault="00B97C22" w:rsidP="00E57E7E">
            <w:pPr>
              <w:spacing w:before="120" w:after="120"/>
              <w:rPr>
                <w:rFonts w:cs="Arial"/>
                <w:szCs w:val="24"/>
              </w:rPr>
            </w:pPr>
            <w:hyperlink w:anchor="first_meeting" w:history="1">
              <w:r w:rsidRPr="005C4E20">
                <w:rPr>
                  <w:rStyle w:val="Hyperlink"/>
                  <w:rFonts w:cs="Arial"/>
                  <w:szCs w:val="24"/>
                </w:rPr>
                <w:t>7 May 2025</w:t>
              </w:r>
            </w:hyperlink>
          </w:p>
        </w:tc>
        <w:tc>
          <w:tcPr>
            <w:tcW w:w="5477" w:type="dxa"/>
          </w:tcPr>
          <w:p w14:paraId="0887E4CB" w14:textId="30534F86" w:rsidR="00BB16A0" w:rsidRPr="00A52D46" w:rsidRDefault="00CC61F0" w:rsidP="5FCFEF09">
            <w:pPr>
              <w:spacing w:before="120" w:after="120"/>
              <w:rPr>
                <w:rFonts w:cs="Arial"/>
              </w:rPr>
            </w:pPr>
            <w:r w:rsidRPr="5FCFEF09">
              <w:rPr>
                <w:rFonts w:cs="Arial"/>
              </w:rPr>
              <w:t xml:space="preserve">Topics </w:t>
            </w:r>
            <w:r w:rsidR="5AE39C18" w:rsidRPr="5FCFEF09">
              <w:rPr>
                <w:rFonts w:cs="Arial"/>
              </w:rPr>
              <w:t>d</w:t>
            </w:r>
            <w:r w:rsidRPr="5FCFEF09">
              <w:rPr>
                <w:rFonts w:cs="Arial"/>
              </w:rPr>
              <w:t>iscussed</w:t>
            </w:r>
            <w:r w:rsidR="2C7CEE29" w:rsidRPr="5FCFEF09">
              <w:rPr>
                <w:rFonts w:cs="Arial"/>
              </w:rPr>
              <w:t>:</w:t>
            </w:r>
          </w:p>
          <w:p w14:paraId="786D38E2" w14:textId="77777777" w:rsidR="00CC61F0" w:rsidRPr="00A52D46" w:rsidRDefault="00CC61F0" w:rsidP="00CC61F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="Arial"/>
                <w:szCs w:val="24"/>
              </w:rPr>
            </w:pPr>
            <w:r w:rsidRPr="00A52D46">
              <w:rPr>
                <w:rFonts w:cs="Arial"/>
                <w:szCs w:val="24"/>
              </w:rPr>
              <w:t>General update on the progress of the project</w:t>
            </w:r>
          </w:p>
          <w:p w14:paraId="58811AC9" w14:textId="77777777" w:rsidR="007139FB" w:rsidRPr="00A52D46" w:rsidRDefault="005D209A" w:rsidP="5FCFEF0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="Arial"/>
              </w:rPr>
            </w:pPr>
            <w:r w:rsidRPr="5FCFEF09">
              <w:rPr>
                <w:rFonts w:cs="Arial"/>
              </w:rPr>
              <w:t>Feedback from the Non-Statutory Consultation</w:t>
            </w:r>
          </w:p>
          <w:p w14:paraId="0E25E6C1" w14:textId="77777777" w:rsidR="005D209A" w:rsidRPr="00A52D46" w:rsidRDefault="005D209A" w:rsidP="00CC61F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="Arial"/>
                <w:szCs w:val="24"/>
              </w:rPr>
            </w:pPr>
            <w:r w:rsidRPr="00A52D46">
              <w:rPr>
                <w:rFonts w:cs="Arial"/>
                <w:szCs w:val="24"/>
              </w:rPr>
              <w:t>Programme Document</w:t>
            </w:r>
          </w:p>
          <w:p w14:paraId="2674D033" w14:textId="78973400" w:rsidR="00A52D46" w:rsidRPr="00A52D46" w:rsidRDefault="00A52D46" w:rsidP="5FCFEF0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="Arial"/>
              </w:rPr>
            </w:pPr>
            <w:r w:rsidRPr="5FCFEF09">
              <w:rPr>
                <w:rFonts w:cs="Arial"/>
              </w:rPr>
              <w:t>Statutory Consultation</w:t>
            </w:r>
          </w:p>
        </w:tc>
      </w:tr>
      <w:tr w:rsidR="00BB16A0" w14:paraId="0BFC4866" w14:textId="77777777" w:rsidTr="5FCFEF09">
        <w:tc>
          <w:tcPr>
            <w:tcW w:w="3539" w:type="dxa"/>
          </w:tcPr>
          <w:p w14:paraId="167D57E4" w14:textId="247BAD39" w:rsidR="00BB16A0" w:rsidRPr="00295549" w:rsidRDefault="007F30C1" w:rsidP="00E57E7E">
            <w:pPr>
              <w:spacing w:before="120" w:after="120"/>
              <w:rPr>
                <w:rFonts w:cs="Arial"/>
                <w:szCs w:val="24"/>
              </w:rPr>
            </w:pPr>
            <w:hyperlink w:anchor="Prospectus" w:history="1">
              <w:r w:rsidRPr="00CE764A">
                <w:rPr>
                  <w:rStyle w:val="Hyperlink"/>
                  <w:rFonts w:cs="Arial"/>
                  <w:szCs w:val="24"/>
                </w:rPr>
                <w:t>06 November</w:t>
              </w:r>
              <w:r w:rsidR="00CE764A" w:rsidRPr="00CE764A">
                <w:rPr>
                  <w:rStyle w:val="Hyperlink"/>
                  <w:rFonts w:cs="Arial"/>
                  <w:szCs w:val="24"/>
                </w:rPr>
                <w:t xml:space="preserve"> 2025</w:t>
              </w:r>
            </w:hyperlink>
          </w:p>
        </w:tc>
        <w:tc>
          <w:tcPr>
            <w:tcW w:w="5477" w:type="dxa"/>
          </w:tcPr>
          <w:p w14:paraId="61A181C5" w14:textId="28573040" w:rsidR="00BB16A0" w:rsidRPr="00A52D46" w:rsidRDefault="007F30C1" w:rsidP="00E57E7E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Pre-application Prospectus Update</w:t>
            </w:r>
          </w:p>
        </w:tc>
      </w:tr>
      <w:tr w:rsidR="00BB16A0" w14:paraId="5AB5CA13" w14:textId="77777777" w:rsidTr="5FCFEF09">
        <w:tc>
          <w:tcPr>
            <w:tcW w:w="3539" w:type="dxa"/>
          </w:tcPr>
          <w:p w14:paraId="68721EC2" w14:textId="77777777" w:rsidR="00BB16A0" w:rsidRPr="00295549" w:rsidRDefault="00BB16A0" w:rsidP="00E57E7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5477" w:type="dxa"/>
          </w:tcPr>
          <w:p w14:paraId="7D12F108" w14:textId="77777777" w:rsidR="00BB16A0" w:rsidRPr="00295549" w:rsidRDefault="00BB16A0" w:rsidP="00E57E7E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BB16A0" w14:paraId="7789871D" w14:textId="77777777" w:rsidTr="5FCFEF09">
        <w:tc>
          <w:tcPr>
            <w:tcW w:w="3539" w:type="dxa"/>
          </w:tcPr>
          <w:p w14:paraId="0B1612A6" w14:textId="77777777" w:rsidR="00BB16A0" w:rsidRPr="00295549" w:rsidRDefault="00BB16A0" w:rsidP="00E57E7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5477" w:type="dxa"/>
          </w:tcPr>
          <w:p w14:paraId="68D61250" w14:textId="77777777" w:rsidR="00BB16A0" w:rsidRPr="00295549" w:rsidRDefault="00BB16A0" w:rsidP="00E57E7E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BB16A0" w14:paraId="43FD5F99" w14:textId="77777777" w:rsidTr="5FCFEF09">
        <w:tc>
          <w:tcPr>
            <w:tcW w:w="3539" w:type="dxa"/>
          </w:tcPr>
          <w:p w14:paraId="72114DA2" w14:textId="77777777" w:rsidR="00BB16A0" w:rsidRPr="00295549" w:rsidRDefault="00BB16A0" w:rsidP="00E57E7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5477" w:type="dxa"/>
          </w:tcPr>
          <w:p w14:paraId="1CDC217C" w14:textId="77777777" w:rsidR="00BB16A0" w:rsidRPr="00295549" w:rsidRDefault="00BB16A0" w:rsidP="00E57E7E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BB16A0" w14:paraId="199F4DC8" w14:textId="77777777" w:rsidTr="5FCFEF09">
        <w:tc>
          <w:tcPr>
            <w:tcW w:w="3539" w:type="dxa"/>
          </w:tcPr>
          <w:p w14:paraId="6A494A58" w14:textId="77777777" w:rsidR="00BB16A0" w:rsidRPr="00295549" w:rsidRDefault="00BB16A0" w:rsidP="00E57E7E">
            <w:pPr>
              <w:spacing w:before="120" w:after="120"/>
              <w:rPr>
                <w:rFonts w:cs="Arial"/>
                <w:szCs w:val="24"/>
              </w:rPr>
            </w:pPr>
          </w:p>
        </w:tc>
        <w:tc>
          <w:tcPr>
            <w:tcW w:w="5477" w:type="dxa"/>
          </w:tcPr>
          <w:p w14:paraId="18B6030A" w14:textId="77777777" w:rsidR="00BB16A0" w:rsidRPr="00295549" w:rsidRDefault="00BB16A0" w:rsidP="00E57E7E">
            <w:pPr>
              <w:spacing w:before="120" w:after="120"/>
              <w:rPr>
                <w:rFonts w:cs="Arial"/>
                <w:szCs w:val="24"/>
              </w:rPr>
            </w:pPr>
          </w:p>
        </w:tc>
      </w:tr>
      <w:tr w:rsidR="00BB16A0" w14:paraId="4EDEE815" w14:textId="77777777" w:rsidTr="5FCFEF09">
        <w:tc>
          <w:tcPr>
            <w:tcW w:w="3539" w:type="dxa"/>
          </w:tcPr>
          <w:p w14:paraId="0F77BF83" w14:textId="77777777" w:rsidR="00BB16A0" w:rsidRDefault="00BB16A0" w:rsidP="00E57E7E">
            <w:pPr>
              <w:spacing w:before="120" w:after="120"/>
              <w:rPr>
                <w:rFonts w:ascii="Verdana" w:hAnsi="Verdana"/>
                <w:szCs w:val="24"/>
              </w:rPr>
            </w:pPr>
          </w:p>
        </w:tc>
        <w:tc>
          <w:tcPr>
            <w:tcW w:w="5477" w:type="dxa"/>
          </w:tcPr>
          <w:p w14:paraId="7FFAAD7F" w14:textId="77777777" w:rsidR="00BB16A0" w:rsidRDefault="00BB16A0" w:rsidP="00E57E7E">
            <w:pPr>
              <w:spacing w:before="120" w:after="120"/>
              <w:rPr>
                <w:rFonts w:ascii="Verdana" w:hAnsi="Verdana"/>
                <w:szCs w:val="24"/>
              </w:rPr>
            </w:pPr>
          </w:p>
        </w:tc>
      </w:tr>
      <w:tr w:rsidR="00BB16A0" w14:paraId="66633670" w14:textId="77777777" w:rsidTr="5FCFEF09">
        <w:tc>
          <w:tcPr>
            <w:tcW w:w="3539" w:type="dxa"/>
          </w:tcPr>
          <w:p w14:paraId="587A4CB6" w14:textId="77777777" w:rsidR="00BB16A0" w:rsidRDefault="00BB16A0" w:rsidP="00E57E7E">
            <w:pPr>
              <w:spacing w:before="120" w:after="120"/>
              <w:rPr>
                <w:rFonts w:ascii="Verdana" w:hAnsi="Verdana"/>
                <w:szCs w:val="24"/>
              </w:rPr>
            </w:pPr>
          </w:p>
        </w:tc>
        <w:tc>
          <w:tcPr>
            <w:tcW w:w="5477" w:type="dxa"/>
          </w:tcPr>
          <w:p w14:paraId="66DDCF36" w14:textId="77777777" w:rsidR="00BB16A0" w:rsidRDefault="00BB16A0" w:rsidP="00E57E7E">
            <w:pPr>
              <w:spacing w:before="120" w:after="120"/>
              <w:rPr>
                <w:rFonts w:ascii="Verdana" w:hAnsi="Verdana"/>
                <w:szCs w:val="24"/>
              </w:rPr>
            </w:pPr>
          </w:p>
        </w:tc>
      </w:tr>
      <w:tr w:rsidR="00BB16A0" w14:paraId="6A928A8C" w14:textId="77777777" w:rsidTr="5FCFEF09">
        <w:tc>
          <w:tcPr>
            <w:tcW w:w="3539" w:type="dxa"/>
          </w:tcPr>
          <w:p w14:paraId="072C4F24" w14:textId="77777777" w:rsidR="00BB16A0" w:rsidRDefault="00BB16A0" w:rsidP="00E57E7E">
            <w:pPr>
              <w:spacing w:before="120" w:after="120"/>
              <w:rPr>
                <w:rFonts w:ascii="Verdana" w:hAnsi="Verdana"/>
                <w:szCs w:val="24"/>
              </w:rPr>
            </w:pPr>
          </w:p>
        </w:tc>
        <w:tc>
          <w:tcPr>
            <w:tcW w:w="5477" w:type="dxa"/>
          </w:tcPr>
          <w:p w14:paraId="49E4D37F" w14:textId="77777777" w:rsidR="00BB16A0" w:rsidRDefault="00BB16A0" w:rsidP="00E57E7E">
            <w:pPr>
              <w:spacing w:before="120" w:after="120"/>
              <w:rPr>
                <w:rFonts w:ascii="Verdana" w:hAnsi="Verdana"/>
                <w:szCs w:val="24"/>
              </w:rPr>
            </w:pPr>
          </w:p>
        </w:tc>
      </w:tr>
      <w:tr w:rsidR="00BB16A0" w14:paraId="495DCCBE" w14:textId="77777777" w:rsidTr="5FCFEF09">
        <w:tc>
          <w:tcPr>
            <w:tcW w:w="3539" w:type="dxa"/>
          </w:tcPr>
          <w:p w14:paraId="12DA0DC8" w14:textId="77777777" w:rsidR="00BB16A0" w:rsidRDefault="00BB16A0" w:rsidP="00E57E7E">
            <w:pPr>
              <w:spacing w:before="120" w:after="120"/>
              <w:rPr>
                <w:rFonts w:ascii="Verdana" w:hAnsi="Verdana"/>
                <w:szCs w:val="24"/>
              </w:rPr>
            </w:pPr>
          </w:p>
        </w:tc>
        <w:tc>
          <w:tcPr>
            <w:tcW w:w="5477" w:type="dxa"/>
          </w:tcPr>
          <w:p w14:paraId="524F5ADE" w14:textId="77777777" w:rsidR="00BB16A0" w:rsidRDefault="00BB16A0" w:rsidP="00E57E7E">
            <w:pPr>
              <w:spacing w:before="120" w:after="120"/>
              <w:rPr>
                <w:rFonts w:ascii="Verdana" w:hAnsi="Verdana"/>
                <w:szCs w:val="24"/>
              </w:rPr>
            </w:pPr>
          </w:p>
        </w:tc>
      </w:tr>
      <w:tr w:rsidR="00BB16A0" w14:paraId="1E034BE8" w14:textId="77777777" w:rsidTr="5FCFEF09">
        <w:tc>
          <w:tcPr>
            <w:tcW w:w="3539" w:type="dxa"/>
          </w:tcPr>
          <w:p w14:paraId="2E84638D" w14:textId="77777777" w:rsidR="00BB16A0" w:rsidRDefault="00BB16A0" w:rsidP="00E57E7E">
            <w:pPr>
              <w:spacing w:before="120" w:after="120"/>
              <w:rPr>
                <w:rFonts w:ascii="Verdana" w:hAnsi="Verdana"/>
                <w:szCs w:val="24"/>
              </w:rPr>
            </w:pPr>
          </w:p>
        </w:tc>
        <w:tc>
          <w:tcPr>
            <w:tcW w:w="5477" w:type="dxa"/>
          </w:tcPr>
          <w:p w14:paraId="27EBD97D" w14:textId="77777777" w:rsidR="00BB16A0" w:rsidRDefault="00BB16A0" w:rsidP="00E57E7E">
            <w:pPr>
              <w:spacing w:before="120" w:after="120"/>
              <w:rPr>
                <w:rFonts w:ascii="Verdana" w:hAnsi="Verdana"/>
                <w:szCs w:val="24"/>
              </w:rPr>
            </w:pPr>
          </w:p>
        </w:tc>
      </w:tr>
      <w:tr w:rsidR="00BB16A0" w14:paraId="72456CBA" w14:textId="77777777" w:rsidTr="5FCFEF09">
        <w:tc>
          <w:tcPr>
            <w:tcW w:w="3539" w:type="dxa"/>
          </w:tcPr>
          <w:p w14:paraId="7F83BF4C" w14:textId="77777777" w:rsidR="00BB16A0" w:rsidRDefault="00BB16A0" w:rsidP="00E57E7E">
            <w:pPr>
              <w:spacing w:before="120" w:after="120"/>
              <w:rPr>
                <w:rFonts w:ascii="Verdana" w:hAnsi="Verdana"/>
                <w:szCs w:val="24"/>
              </w:rPr>
            </w:pPr>
          </w:p>
        </w:tc>
        <w:tc>
          <w:tcPr>
            <w:tcW w:w="5477" w:type="dxa"/>
          </w:tcPr>
          <w:p w14:paraId="7C4EB367" w14:textId="77777777" w:rsidR="00BB16A0" w:rsidRDefault="00BB16A0" w:rsidP="00E57E7E">
            <w:pPr>
              <w:spacing w:before="120" w:after="120"/>
              <w:rPr>
                <w:rFonts w:ascii="Verdana" w:hAnsi="Verdana"/>
                <w:szCs w:val="24"/>
              </w:rPr>
            </w:pPr>
          </w:p>
        </w:tc>
      </w:tr>
      <w:tr w:rsidR="00BB16A0" w14:paraId="4A31B3C7" w14:textId="77777777" w:rsidTr="5FCFEF09">
        <w:tc>
          <w:tcPr>
            <w:tcW w:w="3539" w:type="dxa"/>
          </w:tcPr>
          <w:p w14:paraId="6C691494" w14:textId="77777777" w:rsidR="00BB16A0" w:rsidRDefault="00BB16A0" w:rsidP="00E57E7E">
            <w:pPr>
              <w:spacing w:before="120" w:after="120"/>
              <w:rPr>
                <w:rFonts w:ascii="Verdana" w:hAnsi="Verdana"/>
                <w:szCs w:val="24"/>
              </w:rPr>
            </w:pPr>
          </w:p>
        </w:tc>
        <w:tc>
          <w:tcPr>
            <w:tcW w:w="5477" w:type="dxa"/>
          </w:tcPr>
          <w:p w14:paraId="16475918" w14:textId="77777777" w:rsidR="00BB16A0" w:rsidRDefault="00BB16A0" w:rsidP="00E57E7E">
            <w:pPr>
              <w:spacing w:before="120" w:after="120"/>
              <w:rPr>
                <w:rFonts w:ascii="Verdana" w:hAnsi="Verdana"/>
                <w:szCs w:val="24"/>
              </w:rPr>
            </w:pPr>
          </w:p>
        </w:tc>
      </w:tr>
    </w:tbl>
    <w:p w14:paraId="6FCAACC3" w14:textId="77777777" w:rsidR="00BB16A0" w:rsidRDefault="00BB16A0" w:rsidP="00BB16A0">
      <w:pPr>
        <w:rPr>
          <w:rFonts w:ascii="Verdana" w:hAnsi="Verdana"/>
          <w:szCs w:val="24"/>
        </w:rPr>
      </w:pPr>
    </w:p>
    <w:p w14:paraId="4D529C04" w14:textId="77777777" w:rsidR="00BB16A0" w:rsidRDefault="00BB16A0" w:rsidP="00BB16A0">
      <w:p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br w:type="page"/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6753"/>
      </w:tblGrid>
      <w:tr w:rsidR="00BB16A0" w:rsidRPr="00295549" w14:paraId="05C789E7" w14:textId="77777777" w:rsidTr="5FCFEF09">
        <w:tc>
          <w:tcPr>
            <w:tcW w:w="9016" w:type="dxa"/>
            <w:gridSpan w:val="2"/>
            <w:shd w:val="clear" w:color="auto" w:fill="074745"/>
          </w:tcPr>
          <w:p w14:paraId="753823EF" w14:textId="04B7627D" w:rsidR="00BB16A0" w:rsidRPr="00295549" w:rsidRDefault="005C4E20" w:rsidP="00E57E7E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bookmarkStart w:id="0" w:name="_Hlk213331073"/>
            <w:r>
              <w:rPr>
                <w:rFonts w:cs="Arial"/>
                <w:b/>
                <w:bCs/>
                <w:szCs w:val="24"/>
              </w:rPr>
              <w:lastRenderedPageBreak/>
              <w:t>Grimsby to Walpole</w:t>
            </w:r>
            <w:r w:rsidR="00BB16A0">
              <w:rPr>
                <w:rFonts w:cs="Arial"/>
                <w:b/>
                <w:bCs/>
                <w:szCs w:val="24"/>
              </w:rPr>
              <w:t xml:space="preserve"> -</w:t>
            </w:r>
            <w:r w:rsidR="00324375">
              <w:rPr>
                <w:rFonts w:cs="Arial"/>
                <w:b/>
                <w:bCs/>
                <w:szCs w:val="24"/>
              </w:rPr>
              <w:t xml:space="preserve"> </w:t>
            </w:r>
            <w:r w:rsidR="00BB16A0" w:rsidRPr="00295549">
              <w:rPr>
                <w:rFonts w:cs="Arial"/>
                <w:b/>
                <w:bCs/>
                <w:szCs w:val="24"/>
              </w:rPr>
              <w:t>s51 Advice Library</w:t>
            </w:r>
          </w:p>
        </w:tc>
      </w:tr>
      <w:tr w:rsidR="00BB16A0" w:rsidRPr="00295549" w14:paraId="199130CF" w14:textId="77777777" w:rsidTr="5FCFEF09">
        <w:tc>
          <w:tcPr>
            <w:tcW w:w="2263" w:type="dxa"/>
            <w:tcBorders>
              <w:bottom w:val="single" w:sz="4" w:space="0" w:color="auto"/>
            </w:tcBorders>
            <w:shd w:val="clear" w:color="auto" w:fill="00958F"/>
          </w:tcPr>
          <w:p w14:paraId="530222FB" w14:textId="77777777" w:rsidR="00BB16A0" w:rsidRPr="00295549" w:rsidRDefault="00BB16A0" w:rsidP="00E57E7E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bookmarkStart w:id="1" w:name="first_meeting" w:colFirst="1" w:colLast="1"/>
            <w:r w:rsidRPr="00295549">
              <w:rPr>
                <w:rFonts w:cs="Arial"/>
                <w:b/>
                <w:bCs/>
                <w:szCs w:val="24"/>
              </w:rPr>
              <w:t>Topic</w:t>
            </w:r>
          </w:p>
        </w:tc>
        <w:tc>
          <w:tcPr>
            <w:tcW w:w="6753" w:type="dxa"/>
            <w:tcBorders>
              <w:bottom w:val="single" w:sz="4" w:space="0" w:color="auto"/>
            </w:tcBorders>
            <w:shd w:val="clear" w:color="auto" w:fill="00958F"/>
          </w:tcPr>
          <w:p w14:paraId="1404DCA4" w14:textId="054971CB" w:rsidR="00BB16A0" w:rsidRPr="00295549" w:rsidRDefault="005C4E20" w:rsidP="00E57E7E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7 May 2025</w:t>
            </w:r>
          </w:p>
        </w:tc>
      </w:tr>
      <w:bookmarkEnd w:id="1"/>
      <w:tr w:rsidR="00E57E7E" w:rsidRPr="00295549" w14:paraId="138A073D" w14:textId="77777777" w:rsidTr="5FCFEF09">
        <w:tc>
          <w:tcPr>
            <w:tcW w:w="2263" w:type="dxa"/>
            <w:tcBorders>
              <w:bottom w:val="single" w:sz="4" w:space="0" w:color="auto"/>
            </w:tcBorders>
          </w:tcPr>
          <w:p w14:paraId="0D964707" w14:textId="003AD06B" w:rsidR="00E57E7E" w:rsidRPr="000B45E4" w:rsidRDefault="008A43BE" w:rsidP="00E57E7E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Programme Document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592FA2EB" w14:textId="44E593F6" w:rsidR="00E57E7E" w:rsidRPr="0070719E" w:rsidRDefault="294F7B8A" w:rsidP="5FCFEF09">
            <w:pPr>
              <w:spacing w:before="120" w:after="120"/>
              <w:rPr>
                <w:rFonts w:cs="Arial"/>
              </w:rPr>
            </w:pPr>
            <w:r w:rsidRPr="5FCFEF09">
              <w:rPr>
                <w:rFonts w:cs="Arial"/>
              </w:rPr>
              <w:t xml:space="preserve">The inspectorate advised the applicant </w:t>
            </w:r>
            <w:r w:rsidR="6DD0A3C0" w:rsidRPr="5FCFEF09">
              <w:rPr>
                <w:rFonts w:cs="Arial"/>
              </w:rPr>
              <w:t xml:space="preserve">to </w:t>
            </w:r>
            <w:r w:rsidR="49982A77" w:rsidRPr="5FCFEF09">
              <w:rPr>
                <w:rFonts w:cs="Arial"/>
              </w:rPr>
              <w:t>include</w:t>
            </w:r>
            <w:r w:rsidR="7790BAB2" w:rsidRPr="5FCFEF09">
              <w:rPr>
                <w:rFonts w:cs="Arial"/>
              </w:rPr>
              <w:t xml:space="preserve"> </w:t>
            </w:r>
            <w:r w:rsidR="6DD0A3C0" w:rsidRPr="5FCFEF09">
              <w:rPr>
                <w:rFonts w:cs="Arial"/>
              </w:rPr>
              <w:t>more specific dates in its Programme Document</w:t>
            </w:r>
            <w:r w:rsidR="611D8E24" w:rsidRPr="5FCFEF09">
              <w:rPr>
                <w:rFonts w:cs="Arial"/>
              </w:rPr>
              <w:t xml:space="preserve"> for the expected timeline as opposed to the current format </w:t>
            </w:r>
            <w:r w:rsidR="49982A77" w:rsidRPr="5FCFEF09">
              <w:rPr>
                <w:rFonts w:cs="Arial"/>
              </w:rPr>
              <w:t xml:space="preserve">of </w:t>
            </w:r>
            <w:r w:rsidR="6DD0A3C0" w:rsidRPr="5FCFEF09">
              <w:rPr>
                <w:rFonts w:cs="Arial"/>
              </w:rPr>
              <w:t>quarters</w:t>
            </w:r>
            <w:r w:rsidR="1CBAC50C" w:rsidRPr="5FCFEF09">
              <w:rPr>
                <w:rFonts w:cs="Arial"/>
              </w:rPr>
              <w:t xml:space="preserve">, </w:t>
            </w:r>
            <w:r w:rsidR="611D8E24" w:rsidRPr="5FCFEF09">
              <w:rPr>
                <w:rFonts w:cs="Arial"/>
              </w:rPr>
              <w:t xml:space="preserve">with </w:t>
            </w:r>
            <w:r w:rsidR="1CBAC50C" w:rsidRPr="5FCFEF09">
              <w:rPr>
                <w:rFonts w:cs="Arial"/>
              </w:rPr>
              <w:t xml:space="preserve">at the very least the submission date </w:t>
            </w:r>
            <w:r w:rsidR="7790BAB2" w:rsidRPr="5FCFEF09">
              <w:rPr>
                <w:rFonts w:cs="Arial"/>
              </w:rPr>
              <w:t>being given</w:t>
            </w:r>
            <w:r w:rsidR="56D2499B" w:rsidRPr="5FCFEF09">
              <w:rPr>
                <w:rFonts w:cs="Arial"/>
              </w:rPr>
              <w:t xml:space="preserve"> a </w:t>
            </w:r>
            <w:r w:rsidR="7790BAB2" w:rsidRPr="5FCFEF09">
              <w:rPr>
                <w:rFonts w:cs="Arial"/>
              </w:rPr>
              <w:t xml:space="preserve">specific </w:t>
            </w:r>
            <w:r w:rsidR="56D2499B" w:rsidRPr="5FCFEF09">
              <w:rPr>
                <w:rFonts w:cs="Arial"/>
              </w:rPr>
              <w:t xml:space="preserve">month </w:t>
            </w:r>
            <w:r w:rsidR="06369C51" w:rsidRPr="5FCFEF09">
              <w:rPr>
                <w:rFonts w:cs="Arial"/>
              </w:rPr>
              <w:t>for</w:t>
            </w:r>
            <w:r w:rsidR="3BA2EE62" w:rsidRPr="5FCFEF09">
              <w:rPr>
                <w:rFonts w:cs="Arial"/>
              </w:rPr>
              <w:t xml:space="preserve"> more accurate resource planning. </w:t>
            </w:r>
            <w:r w:rsidR="7032DEE9" w:rsidRPr="5FCFEF09">
              <w:rPr>
                <w:rFonts w:cs="Arial"/>
              </w:rPr>
              <w:t xml:space="preserve">The inspectorate </w:t>
            </w:r>
            <w:r w:rsidR="4666ED4B" w:rsidRPr="5FCFEF09">
              <w:rPr>
                <w:rFonts w:cs="Arial"/>
              </w:rPr>
              <w:t>explained further that the Programme Document</w:t>
            </w:r>
            <w:r w:rsidR="2B5E4F18" w:rsidRPr="5FCFEF09">
              <w:rPr>
                <w:rFonts w:cs="Arial"/>
              </w:rPr>
              <w:t xml:space="preserve"> should be updated and reviewed </w:t>
            </w:r>
            <w:r w:rsidR="7AB37474" w:rsidRPr="5FCFEF09">
              <w:rPr>
                <w:rFonts w:cs="Arial"/>
              </w:rPr>
              <w:t xml:space="preserve">when </w:t>
            </w:r>
            <w:r w:rsidR="2B5E4F18" w:rsidRPr="5FCFEF09">
              <w:rPr>
                <w:rFonts w:cs="Arial"/>
              </w:rPr>
              <w:t xml:space="preserve">any new issues are identified or </w:t>
            </w:r>
            <w:r w:rsidR="7AB37474" w:rsidRPr="5FCFEF09">
              <w:rPr>
                <w:rFonts w:cs="Arial"/>
              </w:rPr>
              <w:t xml:space="preserve">when changes to expected dates arise for example. </w:t>
            </w:r>
          </w:p>
        </w:tc>
      </w:tr>
      <w:tr w:rsidR="00E57E7E" w:rsidRPr="00295549" w14:paraId="775EA4B5" w14:textId="77777777" w:rsidTr="5FCFEF09">
        <w:tc>
          <w:tcPr>
            <w:tcW w:w="2263" w:type="dxa"/>
            <w:tcBorders>
              <w:bottom w:val="single" w:sz="4" w:space="0" w:color="auto"/>
            </w:tcBorders>
          </w:tcPr>
          <w:p w14:paraId="19B30A94" w14:textId="170CD2DB" w:rsidR="00E57E7E" w:rsidRPr="000B45E4" w:rsidRDefault="008B3D06" w:rsidP="00E57E7E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Project visualisation material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04A98BA3" w14:textId="3863FC9F" w:rsidR="00E57E7E" w:rsidRPr="0070719E" w:rsidRDefault="0BFDC302" w:rsidP="5FCFEF09">
            <w:pPr>
              <w:spacing w:before="120" w:after="120"/>
              <w:rPr>
                <w:rFonts w:cs="Arial"/>
              </w:rPr>
            </w:pPr>
            <w:r w:rsidRPr="5FCFEF09">
              <w:rPr>
                <w:rFonts w:cs="Arial"/>
              </w:rPr>
              <w:t xml:space="preserve">The inspectorate reminded the applicant to be aware of any </w:t>
            </w:r>
            <w:r w:rsidR="4E5C8412" w:rsidRPr="5FCFEF09">
              <w:rPr>
                <w:rFonts w:cs="Arial"/>
              </w:rPr>
              <w:t xml:space="preserve">project visualisation material that </w:t>
            </w:r>
            <w:r w:rsidR="64363353" w:rsidRPr="5FCFEF09">
              <w:rPr>
                <w:rFonts w:cs="Arial"/>
              </w:rPr>
              <w:t>are</w:t>
            </w:r>
            <w:r w:rsidR="4E5C8412" w:rsidRPr="5FCFEF09">
              <w:rPr>
                <w:rFonts w:cs="Arial"/>
              </w:rPr>
              <w:t xml:space="preserve"> being used throughout the consultation period and its usability </w:t>
            </w:r>
            <w:r w:rsidR="410AD2A8" w:rsidRPr="5FCFEF09">
              <w:rPr>
                <w:rFonts w:cs="Arial"/>
              </w:rPr>
              <w:t xml:space="preserve">throughout the entire application process. </w:t>
            </w:r>
          </w:p>
        </w:tc>
      </w:tr>
      <w:tr w:rsidR="00E57E7E" w:rsidRPr="00295549" w14:paraId="5FA77F83" w14:textId="77777777" w:rsidTr="5FCFEF09">
        <w:tc>
          <w:tcPr>
            <w:tcW w:w="2263" w:type="dxa"/>
            <w:tcBorders>
              <w:bottom w:val="single" w:sz="4" w:space="0" w:color="auto"/>
            </w:tcBorders>
          </w:tcPr>
          <w:p w14:paraId="04E1B250" w14:textId="4E11E9DA" w:rsidR="00E57E7E" w:rsidRPr="000B45E4" w:rsidRDefault="7C23273E" w:rsidP="5FCFEF09">
            <w:pPr>
              <w:spacing w:before="120" w:after="120"/>
              <w:rPr>
                <w:rFonts w:cs="Arial"/>
              </w:rPr>
            </w:pPr>
            <w:r w:rsidRPr="5FCFEF09">
              <w:rPr>
                <w:rFonts w:cs="Arial"/>
              </w:rPr>
              <w:t xml:space="preserve">Connection </w:t>
            </w:r>
            <w:r w:rsidR="29547FF8" w:rsidRPr="5FCFEF09">
              <w:rPr>
                <w:rFonts w:cs="Arial"/>
              </w:rPr>
              <w:t>a</w:t>
            </w:r>
            <w:r w:rsidRPr="5FCFEF09">
              <w:rPr>
                <w:rFonts w:cs="Arial"/>
              </w:rPr>
              <w:t>greements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61825298" w14:textId="42F4ED84" w:rsidR="00E57E7E" w:rsidRPr="0070719E" w:rsidRDefault="00CF3796" w:rsidP="0070719E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inspectorate </w:t>
            </w:r>
            <w:r w:rsidR="00A359DC">
              <w:rPr>
                <w:rFonts w:cs="Arial"/>
                <w:szCs w:val="24"/>
              </w:rPr>
              <w:t xml:space="preserve">queried if information on the connection agreements </w:t>
            </w:r>
            <w:r w:rsidR="00BB37FD">
              <w:rPr>
                <w:rFonts w:cs="Arial"/>
                <w:szCs w:val="24"/>
              </w:rPr>
              <w:t xml:space="preserve">to the proposed substations could be provided, in the form of simplified plans and maps </w:t>
            </w:r>
            <w:r w:rsidR="005C4E20">
              <w:rPr>
                <w:rFonts w:cs="Arial"/>
                <w:szCs w:val="24"/>
              </w:rPr>
              <w:t xml:space="preserve">if such a thing were publicly available. </w:t>
            </w:r>
          </w:p>
        </w:tc>
      </w:tr>
      <w:bookmarkEnd w:id="0"/>
    </w:tbl>
    <w:p w14:paraId="1008AEC6" w14:textId="77777777" w:rsidR="00BB16A0" w:rsidRPr="00F55031" w:rsidRDefault="00BB16A0" w:rsidP="00BB16A0">
      <w:pPr>
        <w:rPr>
          <w:rFonts w:ascii="Verdana" w:hAnsi="Verdana"/>
          <w:szCs w:val="24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6753"/>
      </w:tblGrid>
      <w:tr w:rsidR="00DB0A1C" w:rsidRPr="00295549" w14:paraId="3509C57E" w14:textId="77777777" w:rsidTr="009B7E13">
        <w:tc>
          <w:tcPr>
            <w:tcW w:w="9016" w:type="dxa"/>
            <w:gridSpan w:val="2"/>
            <w:shd w:val="clear" w:color="auto" w:fill="074745"/>
          </w:tcPr>
          <w:p w14:paraId="15A6A4B7" w14:textId="77777777" w:rsidR="00DB0A1C" w:rsidRPr="00295549" w:rsidRDefault="00DB0A1C" w:rsidP="009B7E13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Grimsby to Walpole - </w:t>
            </w:r>
            <w:r w:rsidRPr="00295549">
              <w:rPr>
                <w:rFonts w:cs="Arial"/>
                <w:b/>
                <w:bCs/>
                <w:szCs w:val="24"/>
              </w:rPr>
              <w:t>s51 Advice Library</w:t>
            </w:r>
          </w:p>
        </w:tc>
      </w:tr>
      <w:tr w:rsidR="00DB0A1C" w:rsidRPr="00295549" w14:paraId="46A576D5" w14:textId="77777777" w:rsidTr="009B7E13">
        <w:tc>
          <w:tcPr>
            <w:tcW w:w="2263" w:type="dxa"/>
            <w:tcBorders>
              <w:bottom w:val="single" w:sz="4" w:space="0" w:color="auto"/>
            </w:tcBorders>
            <w:shd w:val="clear" w:color="auto" w:fill="00958F"/>
          </w:tcPr>
          <w:p w14:paraId="52EA316A" w14:textId="77777777" w:rsidR="00DB0A1C" w:rsidRPr="00295549" w:rsidRDefault="00DB0A1C" w:rsidP="009B7E13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 w:rsidRPr="00295549">
              <w:rPr>
                <w:rFonts w:cs="Arial"/>
                <w:b/>
                <w:bCs/>
                <w:szCs w:val="24"/>
              </w:rPr>
              <w:t>Topic</w:t>
            </w:r>
          </w:p>
        </w:tc>
        <w:tc>
          <w:tcPr>
            <w:tcW w:w="6753" w:type="dxa"/>
            <w:tcBorders>
              <w:bottom w:val="single" w:sz="4" w:space="0" w:color="auto"/>
            </w:tcBorders>
            <w:shd w:val="clear" w:color="auto" w:fill="00958F"/>
          </w:tcPr>
          <w:p w14:paraId="7D7683A6" w14:textId="71F0B377" w:rsidR="00DB0A1C" w:rsidRPr="00295549" w:rsidRDefault="00F16219" w:rsidP="009B7E13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6 November</w:t>
            </w:r>
            <w:r w:rsidR="00DB0A1C">
              <w:rPr>
                <w:rFonts w:cs="Arial"/>
                <w:b/>
                <w:bCs/>
                <w:szCs w:val="24"/>
              </w:rPr>
              <w:t xml:space="preserve"> 2025</w:t>
            </w:r>
            <w:bookmarkStart w:id="2" w:name="Prospectus"/>
            <w:bookmarkEnd w:id="2"/>
          </w:p>
        </w:tc>
      </w:tr>
      <w:tr w:rsidR="00DB0A1C" w:rsidRPr="0070719E" w14:paraId="53CA2318" w14:textId="77777777" w:rsidTr="009B7E13">
        <w:tc>
          <w:tcPr>
            <w:tcW w:w="2263" w:type="dxa"/>
            <w:tcBorders>
              <w:bottom w:val="single" w:sz="4" w:space="0" w:color="auto"/>
            </w:tcBorders>
          </w:tcPr>
          <w:p w14:paraId="54CCA936" w14:textId="31CE13DC" w:rsidR="00DB0A1C" w:rsidRPr="000B45E4" w:rsidRDefault="005F6389" w:rsidP="009B7E13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Pre-application Prospectus Update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156B5B54" w14:textId="77777777" w:rsidR="00C84CB8" w:rsidRDefault="007D6350" w:rsidP="009B7E13">
            <w:pPr>
              <w:spacing w:before="120" w:after="120"/>
            </w:pPr>
            <w:r>
              <w:t>The Inspectorate has advised that, following a 6-month review of our services, our Pre-application Prospectus has been updated: 2024 Pre-application Prospectus. The update log at the bottom of the page summarises the changes and clarifications that have been applied.</w:t>
            </w:r>
          </w:p>
          <w:p w14:paraId="07805DA8" w14:textId="529B6EB9" w:rsidR="007D6350" w:rsidRDefault="007D6350" w:rsidP="009B7E13">
            <w:pPr>
              <w:spacing w:before="120" w:after="120"/>
            </w:pPr>
            <w:r>
              <w:t>Applicants with a live project at the pre-application stage of the process, please familiarise yourself with the update and consider how it might affect your pre-application programme and interaction with our services. Please note in particular:</w:t>
            </w:r>
          </w:p>
          <w:p w14:paraId="202AADB5" w14:textId="3D89F07D" w:rsidR="007D6350" w:rsidRDefault="007D6350" w:rsidP="007D6350">
            <w:pPr>
              <w:pStyle w:val="ListParagraph"/>
              <w:numPr>
                <w:ilvl w:val="0"/>
                <w:numId w:val="2"/>
              </w:numPr>
              <w:spacing w:before="120" w:after="120"/>
            </w:pPr>
            <w:r>
              <w:t>the establishment of land and rights negotiations tracking as a primary service feature – this means it is now expected for all applicants to develop and share a land and right negotiations tracker in 1 of 2 available templates, irrespective of the service tier they have subscribed to</w:t>
            </w:r>
          </w:p>
          <w:p w14:paraId="4A8462AB" w14:textId="56547EE2" w:rsidR="00DB0A1C" w:rsidRPr="007D6350" w:rsidRDefault="007D6350" w:rsidP="007D635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="Arial"/>
              </w:rPr>
            </w:pPr>
            <w:r>
              <w:t xml:space="preserve">clarified expectations of applicants when preparing to interact with the Inspectorate at meetings – including clarified rights for the Inspectorate to delay or refuse </w:t>
            </w:r>
            <w:r>
              <w:lastRenderedPageBreak/>
              <w:t>service where pre-meeting expectations are not upheld e.g. an updated programme document or 9 issues tracker is not provided, on time, to inform a meeting agend</w:t>
            </w:r>
            <w:r w:rsidR="00C84CB8">
              <w:t>a.</w:t>
            </w:r>
          </w:p>
        </w:tc>
      </w:tr>
    </w:tbl>
    <w:p w14:paraId="10559592" w14:textId="77777777" w:rsidR="00F55031" w:rsidRPr="00BB16A0" w:rsidRDefault="00F55031" w:rsidP="00BB16A0"/>
    <w:sectPr w:rsidR="00F55031" w:rsidRPr="00BB16A0" w:rsidSect="00295549"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909E3" w14:textId="77777777" w:rsidR="00756122" w:rsidRDefault="00756122" w:rsidP="00295549">
      <w:r>
        <w:separator/>
      </w:r>
    </w:p>
  </w:endnote>
  <w:endnote w:type="continuationSeparator" w:id="0">
    <w:p w14:paraId="685D52FC" w14:textId="77777777" w:rsidR="00756122" w:rsidRDefault="00756122" w:rsidP="00295549">
      <w:r>
        <w:continuationSeparator/>
      </w:r>
    </w:p>
  </w:endnote>
  <w:endnote w:type="continuationNotice" w:id="1">
    <w:p w14:paraId="06F1F7BE" w14:textId="77777777" w:rsidR="00756122" w:rsidRDefault="007561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379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A32E2" w14:textId="68D4B26E" w:rsidR="00295549" w:rsidRDefault="002955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FD5785" w14:textId="77777777" w:rsidR="00295549" w:rsidRDefault="00295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E7EA4" w14:textId="77777777" w:rsidR="00756122" w:rsidRDefault="00756122" w:rsidP="00295549">
      <w:r>
        <w:separator/>
      </w:r>
    </w:p>
  </w:footnote>
  <w:footnote w:type="continuationSeparator" w:id="0">
    <w:p w14:paraId="7887203F" w14:textId="77777777" w:rsidR="00756122" w:rsidRDefault="00756122" w:rsidP="00295549">
      <w:r>
        <w:continuationSeparator/>
      </w:r>
    </w:p>
  </w:footnote>
  <w:footnote w:type="continuationNotice" w:id="1">
    <w:p w14:paraId="0B36F6CC" w14:textId="77777777" w:rsidR="00756122" w:rsidRDefault="007561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73C4" w14:textId="62D7AFBF" w:rsidR="00B47BEE" w:rsidRDefault="00B47BEE" w:rsidP="00B47BEE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148E0"/>
    <w:multiLevelType w:val="hybridMultilevel"/>
    <w:tmpl w:val="24B6E14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4BE7A55"/>
    <w:multiLevelType w:val="hybridMultilevel"/>
    <w:tmpl w:val="DF5EA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904995">
    <w:abstractNumId w:val="1"/>
  </w:num>
  <w:num w:numId="2" w16cid:durableId="80990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31"/>
    <w:rsid w:val="00001075"/>
    <w:rsid w:val="00012049"/>
    <w:rsid w:val="000405E9"/>
    <w:rsid w:val="00052CB2"/>
    <w:rsid w:val="000B45E4"/>
    <w:rsid w:val="000B5B8A"/>
    <w:rsid w:val="000B7698"/>
    <w:rsid w:val="000D4D3A"/>
    <w:rsid w:val="000E4B9E"/>
    <w:rsid w:val="000E59EE"/>
    <w:rsid w:val="000E5B94"/>
    <w:rsid w:val="001002EB"/>
    <w:rsid w:val="00144117"/>
    <w:rsid w:val="001507A6"/>
    <w:rsid w:val="001666ED"/>
    <w:rsid w:val="001725B3"/>
    <w:rsid w:val="0017369F"/>
    <w:rsid w:val="0019736E"/>
    <w:rsid w:val="001C1C23"/>
    <w:rsid w:val="001D7773"/>
    <w:rsid w:val="001E130F"/>
    <w:rsid w:val="001E26A9"/>
    <w:rsid w:val="00206E8C"/>
    <w:rsid w:val="00216B6D"/>
    <w:rsid w:val="0024686E"/>
    <w:rsid w:val="00250A2E"/>
    <w:rsid w:val="00261BC1"/>
    <w:rsid w:val="00265645"/>
    <w:rsid w:val="002730C4"/>
    <w:rsid w:val="00274C86"/>
    <w:rsid w:val="0028397C"/>
    <w:rsid w:val="00295549"/>
    <w:rsid w:val="00297055"/>
    <w:rsid w:val="002A6057"/>
    <w:rsid w:val="002A68F9"/>
    <w:rsid w:val="002A7F4F"/>
    <w:rsid w:val="002B41A7"/>
    <w:rsid w:val="002C69C6"/>
    <w:rsid w:val="002D47CC"/>
    <w:rsid w:val="00324375"/>
    <w:rsid w:val="00324A55"/>
    <w:rsid w:val="00341AD7"/>
    <w:rsid w:val="0034366C"/>
    <w:rsid w:val="00343C69"/>
    <w:rsid w:val="003472C5"/>
    <w:rsid w:val="00355541"/>
    <w:rsid w:val="00361114"/>
    <w:rsid w:val="00382359"/>
    <w:rsid w:val="00382706"/>
    <w:rsid w:val="003963CE"/>
    <w:rsid w:val="003C2217"/>
    <w:rsid w:val="003D3AF2"/>
    <w:rsid w:val="003E3E75"/>
    <w:rsid w:val="00406D49"/>
    <w:rsid w:val="004072FF"/>
    <w:rsid w:val="00426FFB"/>
    <w:rsid w:val="00446F18"/>
    <w:rsid w:val="00451384"/>
    <w:rsid w:val="00494BFB"/>
    <w:rsid w:val="004A3066"/>
    <w:rsid w:val="004C5942"/>
    <w:rsid w:val="004C75F3"/>
    <w:rsid w:val="004F547B"/>
    <w:rsid w:val="005113E6"/>
    <w:rsid w:val="00521E65"/>
    <w:rsid w:val="0053031D"/>
    <w:rsid w:val="005540CE"/>
    <w:rsid w:val="00581B51"/>
    <w:rsid w:val="005C1399"/>
    <w:rsid w:val="005C4E20"/>
    <w:rsid w:val="005D209A"/>
    <w:rsid w:val="005E43DA"/>
    <w:rsid w:val="005F0C9E"/>
    <w:rsid w:val="005F6389"/>
    <w:rsid w:val="00626FF7"/>
    <w:rsid w:val="0063243D"/>
    <w:rsid w:val="00660C80"/>
    <w:rsid w:val="00666483"/>
    <w:rsid w:val="00682386"/>
    <w:rsid w:val="006B07CA"/>
    <w:rsid w:val="006B4D10"/>
    <w:rsid w:val="006B4FA4"/>
    <w:rsid w:val="006B7071"/>
    <w:rsid w:val="006B750B"/>
    <w:rsid w:val="006C2056"/>
    <w:rsid w:val="00700907"/>
    <w:rsid w:val="0070719E"/>
    <w:rsid w:val="007139FB"/>
    <w:rsid w:val="007240DB"/>
    <w:rsid w:val="00724657"/>
    <w:rsid w:val="0074243E"/>
    <w:rsid w:val="00756122"/>
    <w:rsid w:val="007A454A"/>
    <w:rsid w:val="007B5E30"/>
    <w:rsid w:val="007D2FE2"/>
    <w:rsid w:val="007D3083"/>
    <w:rsid w:val="007D6350"/>
    <w:rsid w:val="007E33A5"/>
    <w:rsid w:val="007F30C1"/>
    <w:rsid w:val="008160DA"/>
    <w:rsid w:val="008227FE"/>
    <w:rsid w:val="00842083"/>
    <w:rsid w:val="00844056"/>
    <w:rsid w:val="00850434"/>
    <w:rsid w:val="00860073"/>
    <w:rsid w:val="00864DD6"/>
    <w:rsid w:val="008A43BE"/>
    <w:rsid w:val="008B3D06"/>
    <w:rsid w:val="00915FDC"/>
    <w:rsid w:val="00963DC3"/>
    <w:rsid w:val="009830C1"/>
    <w:rsid w:val="009859B6"/>
    <w:rsid w:val="00996680"/>
    <w:rsid w:val="009A571C"/>
    <w:rsid w:val="009E2E2D"/>
    <w:rsid w:val="00A0281A"/>
    <w:rsid w:val="00A13CD3"/>
    <w:rsid w:val="00A144B5"/>
    <w:rsid w:val="00A16B13"/>
    <w:rsid w:val="00A21500"/>
    <w:rsid w:val="00A2660A"/>
    <w:rsid w:val="00A359DC"/>
    <w:rsid w:val="00A46276"/>
    <w:rsid w:val="00A52D46"/>
    <w:rsid w:val="00A67B89"/>
    <w:rsid w:val="00A7064F"/>
    <w:rsid w:val="00AF2477"/>
    <w:rsid w:val="00AF6823"/>
    <w:rsid w:val="00B43538"/>
    <w:rsid w:val="00B47BEE"/>
    <w:rsid w:val="00B562D5"/>
    <w:rsid w:val="00B62FC9"/>
    <w:rsid w:val="00B672A5"/>
    <w:rsid w:val="00B67734"/>
    <w:rsid w:val="00B7787A"/>
    <w:rsid w:val="00B81956"/>
    <w:rsid w:val="00B97C22"/>
    <w:rsid w:val="00B97F88"/>
    <w:rsid w:val="00BB16A0"/>
    <w:rsid w:val="00BB37FD"/>
    <w:rsid w:val="00BE5A49"/>
    <w:rsid w:val="00C01E74"/>
    <w:rsid w:val="00C045EA"/>
    <w:rsid w:val="00C22B16"/>
    <w:rsid w:val="00C53D07"/>
    <w:rsid w:val="00C77AD6"/>
    <w:rsid w:val="00C84CB8"/>
    <w:rsid w:val="00C91574"/>
    <w:rsid w:val="00CA2186"/>
    <w:rsid w:val="00CA526C"/>
    <w:rsid w:val="00CA7866"/>
    <w:rsid w:val="00CC61F0"/>
    <w:rsid w:val="00CD0318"/>
    <w:rsid w:val="00CD3BEF"/>
    <w:rsid w:val="00CD659D"/>
    <w:rsid w:val="00CE4104"/>
    <w:rsid w:val="00CE764A"/>
    <w:rsid w:val="00CF3796"/>
    <w:rsid w:val="00D30300"/>
    <w:rsid w:val="00D4006C"/>
    <w:rsid w:val="00D53EE3"/>
    <w:rsid w:val="00D600B5"/>
    <w:rsid w:val="00D713D3"/>
    <w:rsid w:val="00D96829"/>
    <w:rsid w:val="00DA1B3E"/>
    <w:rsid w:val="00DB0A1C"/>
    <w:rsid w:val="00DC0E78"/>
    <w:rsid w:val="00DC3961"/>
    <w:rsid w:val="00DC70A9"/>
    <w:rsid w:val="00DC7BA3"/>
    <w:rsid w:val="00DE2CB7"/>
    <w:rsid w:val="00DE5A7E"/>
    <w:rsid w:val="00E22828"/>
    <w:rsid w:val="00E22B0C"/>
    <w:rsid w:val="00E24785"/>
    <w:rsid w:val="00E358BE"/>
    <w:rsid w:val="00E502EA"/>
    <w:rsid w:val="00E57E7E"/>
    <w:rsid w:val="00E82E6F"/>
    <w:rsid w:val="00E844E9"/>
    <w:rsid w:val="00E85BC8"/>
    <w:rsid w:val="00EA4432"/>
    <w:rsid w:val="00EB760F"/>
    <w:rsid w:val="00F16219"/>
    <w:rsid w:val="00F412CE"/>
    <w:rsid w:val="00F4588C"/>
    <w:rsid w:val="00F46393"/>
    <w:rsid w:val="00F46D7C"/>
    <w:rsid w:val="00F53621"/>
    <w:rsid w:val="00F55031"/>
    <w:rsid w:val="00F72DB1"/>
    <w:rsid w:val="00F84CA7"/>
    <w:rsid w:val="00FA6056"/>
    <w:rsid w:val="00FA69DC"/>
    <w:rsid w:val="00FB5400"/>
    <w:rsid w:val="00FB5682"/>
    <w:rsid w:val="00FD1A99"/>
    <w:rsid w:val="00FD7D31"/>
    <w:rsid w:val="00FE1FC4"/>
    <w:rsid w:val="00FF02EA"/>
    <w:rsid w:val="06369C51"/>
    <w:rsid w:val="0BFDC302"/>
    <w:rsid w:val="1CBAC50C"/>
    <w:rsid w:val="248F54F4"/>
    <w:rsid w:val="294F7B8A"/>
    <w:rsid w:val="29547FF8"/>
    <w:rsid w:val="2B5E4F18"/>
    <w:rsid w:val="2C7CEE29"/>
    <w:rsid w:val="3BA2EE62"/>
    <w:rsid w:val="3ED4913A"/>
    <w:rsid w:val="40D8FDC9"/>
    <w:rsid w:val="410AD2A8"/>
    <w:rsid w:val="429E4528"/>
    <w:rsid w:val="44C1F6C1"/>
    <w:rsid w:val="4666ED4B"/>
    <w:rsid w:val="49982A77"/>
    <w:rsid w:val="4E5C8412"/>
    <w:rsid w:val="520418D5"/>
    <w:rsid w:val="56D2499B"/>
    <w:rsid w:val="5AE39C18"/>
    <w:rsid w:val="5FCFEF09"/>
    <w:rsid w:val="611D8E24"/>
    <w:rsid w:val="64363353"/>
    <w:rsid w:val="6DD0A3C0"/>
    <w:rsid w:val="7032DEE9"/>
    <w:rsid w:val="70B1089F"/>
    <w:rsid w:val="7790BAB2"/>
    <w:rsid w:val="7AB37474"/>
    <w:rsid w:val="7C23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A5777"/>
  <w15:chartTrackingRefBased/>
  <w15:docId w15:val="{1F49841A-19EF-47BE-8744-62797880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386"/>
    <w:pPr>
      <w:spacing w:after="0" w:line="240" w:lineRule="auto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5031"/>
    <w:rPr>
      <w:color w:val="0000FF"/>
      <w:u w:val="single"/>
    </w:rPr>
  </w:style>
  <w:style w:type="paragraph" w:customStyle="1" w:styleId="Default">
    <w:name w:val="Default"/>
    <w:rsid w:val="00F550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503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5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5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6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6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64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5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549"/>
  </w:style>
  <w:style w:type="paragraph" w:styleId="Footer">
    <w:name w:val="footer"/>
    <w:basedOn w:val="Normal"/>
    <w:link w:val="FooterChar"/>
    <w:uiPriority w:val="99"/>
    <w:unhideWhenUsed/>
    <w:rsid w:val="002955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549"/>
  </w:style>
  <w:style w:type="character" w:styleId="FollowedHyperlink">
    <w:name w:val="FollowedHyperlink"/>
    <w:basedOn w:val="DefaultParagraphFont"/>
    <w:uiPriority w:val="99"/>
    <w:semiHidden/>
    <w:unhideWhenUsed/>
    <w:rsid w:val="003E3E75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D3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CC61F0"/>
    <w:pPr>
      <w:ind w:left="720"/>
      <w:contextualSpacing/>
    </w:pPr>
  </w:style>
  <w:style w:type="paragraph" w:styleId="Revision">
    <w:name w:val="Revision"/>
    <w:hidden/>
    <w:uiPriority w:val="99"/>
    <w:semiHidden/>
    <w:rsid w:val="000405E9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.uk/ukpga/2008/29/cont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4C9717C1457439CEC77B1E660ECC9" ma:contentTypeVersion="4" ma:contentTypeDescription="Create a new document." ma:contentTypeScope="" ma:versionID="04c9dcf93cf59059de0e4f3888216181">
  <xsd:schema xmlns:xsd="http://www.w3.org/2001/XMLSchema" xmlns:xs="http://www.w3.org/2001/XMLSchema" xmlns:p="http://schemas.microsoft.com/office/2006/metadata/properties" xmlns:ns2="176222b5-33cf-497b-9af0-76a2b9d13f1e" targetNamespace="http://schemas.microsoft.com/office/2006/metadata/properties" ma:root="true" ma:fieldsID="8d097191f87ab7948dafde6d3238a7d0" ns2:_="">
    <xsd:import namespace="176222b5-33cf-497b-9af0-76a2b9d13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222b5-33cf-497b-9af0-76a2b9d13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AC0B7-8607-4730-B1C7-3CF10638C06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176222b5-33cf-497b-9af0-76a2b9d13f1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025CB1-2A8B-4AF1-B39E-E24C2B861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6FBF4-437D-4277-8C77-4144AE3BA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222b5-33cf-497b-9af0-76a2b9d13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A51D9A-4C0D-46A1-A0F1-6DC005C0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537</Words>
  <Characters>3065</Characters>
  <Application>Microsoft Office Word</Application>
  <DocSecurity>2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PA10 - Pre-application s51 Advice Log template</dc:title>
  <dc:subject/>
  <dc:creator>Daniel Hurley</dc:creator>
  <cp:keywords/>
  <dc:description/>
  <cp:lastModifiedBy>Davies, Harri</cp:lastModifiedBy>
  <cp:revision>2</cp:revision>
  <dcterms:created xsi:type="dcterms:W3CDTF">2025-11-19T13:54:00Z</dcterms:created>
  <dcterms:modified xsi:type="dcterms:W3CDTF">2025-11-19T13:54:00Z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0x010100A2F4C9717C1457439CEC77B1E660ECC9</vt:lpwstr>
  </property>
</Properties>
</file>